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6D" w:rsidRPr="00466993" w:rsidRDefault="004F0F6D" w:rsidP="00BC068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p>
    <w:p w:rsidR="004F0F6D" w:rsidRPr="00466993" w:rsidRDefault="004F0F6D" w:rsidP="00BC068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sidRPr="00466993">
        <w:rPr>
          <w:rFonts w:asciiTheme="minorHAnsi" w:hAnsiTheme="minorHAnsi" w:cstheme="minorHAnsi"/>
          <w:b/>
        </w:rPr>
        <w:t>Verslag Algemene Vergadering LOP Ronse Basis</w:t>
      </w:r>
    </w:p>
    <w:p w:rsidR="004F0F6D" w:rsidRPr="00466993" w:rsidRDefault="007B6DA3" w:rsidP="00BC068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Pr>
          <w:rFonts w:asciiTheme="minorHAnsi" w:hAnsiTheme="minorHAnsi" w:cstheme="minorHAnsi"/>
          <w:b/>
        </w:rPr>
        <w:t>8 juni 2015</w:t>
      </w:r>
      <w:bookmarkStart w:id="0" w:name="_GoBack"/>
      <w:bookmarkEnd w:id="0"/>
    </w:p>
    <w:p w:rsidR="004F0F6D" w:rsidRPr="00466993" w:rsidRDefault="004F0F6D" w:rsidP="00BC068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p>
    <w:p w:rsidR="004F0F6D" w:rsidRPr="00466993" w:rsidRDefault="004F0F6D" w:rsidP="00BC0681">
      <w:pPr>
        <w:spacing w:line="276" w:lineRule="auto"/>
        <w:jc w:val="both"/>
        <w:rPr>
          <w:rFonts w:asciiTheme="minorHAnsi" w:hAnsiTheme="minorHAnsi" w:cstheme="minorHAnsi"/>
          <w:b/>
        </w:rPr>
      </w:pPr>
    </w:p>
    <w:p w:rsidR="004F0F6D" w:rsidRPr="00466993" w:rsidRDefault="004F0F6D" w:rsidP="00BC0681">
      <w:pPr>
        <w:shd w:val="clear" w:color="auto" w:fill="A6A6A6" w:themeFill="background1" w:themeFillShade="A6"/>
        <w:spacing w:line="276" w:lineRule="auto"/>
        <w:jc w:val="both"/>
        <w:rPr>
          <w:rFonts w:asciiTheme="minorHAnsi" w:hAnsiTheme="minorHAnsi" w:cstheme="minorHAnsi"/>
          <w:b/>
        </w:rPr>
      </w:pPr>
      <w:r w:rsidRPr="00466993">
        <w:rPr>
          <w:rFonts w:asciiTheme="minorHAnsi" w:hAnsiTheme="minorHAnsi" w:cstheme="minorHAnsi"/>
          <w:b/>
        </w:rPr>
        <w:t>Aanwezig/Verontschuldigd</w:t>
      </w:r>
    </w:p>
    <w:p w:rsidR="004F0F6D" w:rsidRPr="00466993" w:rsidRDefault="004F0F6D" w:rsidP="00BC0681">
      <w:pPr>
        <w:spacing w:line="276" w:lineRule="auto"/>
        <w:jc w:val="both"/>
        <w:rPr>
          <w:rFonts w:asciiTheme="minorHAnsi" w:hAnsiTheme="minorHAnsi" w:cstheme="minorHAnsi"/>
          <w:b/>
        </w:rPr>
      </w:pPr>
    </w:p>
    <w:tbl>
      <w:tblPr>
        <w:tblW w:w="9072"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4677"/>
        <w:gridCol w:w="567"/>
      </w:tblGrid>
      <w:tr w:rsidR="004F0F6D" w:rsidRPr="00466993" w:rsidTr="00CF15CC">
        <w:trPr>
          <w:cantSplit/>
          <w:trHeight w:val="113"/>
        </w:trPr>
        <w:tc>
          <w:tcPr>
            <w:tcW w:w="1560"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Klaus</w:t>
            </w:r>
          </w:p>
        </w:tc>
        <w:tc>
          <w:tcPr>
            <w:tcW w:w="2268"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Van Hoecke</w:t>
            </w:r>
          </w:p>
        </w:tc>
        <w:tc>
          <w:tcPr>
            <w:tcW w:w="4677"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Voorzitter LOP</w:t>
            </w:r>
          </w:p>
        </w:tc>
        <w:tc>
          <w:tcPr>
            <w:tcW w:w="567"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r w:rsidR="004F0F6D" w:rsidRPr="00466993" w:rsidTr="00CF15CC">
        <w:trPr>
          <w:cantSplit/>
          <w:trHeight w:val="113"/>
        </w:trPr>
        <w:tc>
          <w:tcPr>
            <w:tcW w:w="1560"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Luc</w:t>
            </w:r>
          </w:p>
        </w:tc>
        <w:tc>
          <w:tcPr>
            <w:tcW w:w="2268"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Top</w:t>
            </w:r>
          </w:p>
        </w:tc>
        <w:tc>
          <w:tcPr>
            <w:tcW w:w="4677"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LOP-deskundige</w:t>
            </w:r>
          </w:p>
        </w:tc>
        <w:tc>
          <w:tcPr>
            <w:tcW w:w="567" w:type="dxa"/>
            <w:shd w:val="clear" w:color="C0C0C0"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9072" w:type="dxa"/>
            <w:gridSpan w:val="4"/>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Directies scholen in werkgebied</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Katty</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Van Hoecke</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Kleutersch</w:t>
            </w:r>
            <w:proofErr w:type="spellEnd"/>
            <w:r w:rsidRPr="00466993">
              <w:rPr>
                <w:rFonts w:asciiTheme="minorHAnsi" w:hAnsiTheme="minorHAnsi" w:cstheme="minorHAnsi"/>
              </w:rPr>
              <w:t xml:space="preserve">. Dr. O. Decroly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Eddy</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Desmet</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lang w:val="en-GB"/>
              </w:rPr>
            </w:pPr>
            <w:proofErr w:type="spellStart"/>
            <w:r w:rsidRPr="00466993">
              <w:rPr>
                <w:rFonts w:asciiTheme="minorHAnsi" w:hAnsiTheme="minorHAnsi" w:cstheme="minorHAnsi"/>
                <w:lang w:val="en-GB"/>
              </w:rPr>
              <w:t>Lagere</w:t>
            </w:r>
            <w:proofErr w:type="spellEnd"/>
            <w:r w:rsidRPr="00466993">
              <w:rPr>
                <w:rFonts w:asciiTheme="minorHAnsi" w:hAnsiTheme="minorHAnsi" w:cstheme="minorHAnsi"/>
                <w:lang w:val="en-GB"/>
              </w:rPr>
              <w:t xml:space="preserve"> school </w:t>
            </w:r>
            <w:proofErr w:type="spellStart"/>
            <w:r w:rsidRPr="00466993">
              <w:rPr>
                <w:rFonts w:asciiTheme="minorHAnsi" w:hAnsiTheme="minorHAnsi" w:cstheme="minorHAnsi"/>
                <w:lang w:val="en-GB"/>
              </w:rPr>
              <w:t>Dr.O.Decroly</w:t>
            </w:r>
            <w:proofErr w:type="spellEnd"/>
            <w:r w:rsidRPr="00466993">
              <w:rPr>
                <w:rFonts w:asciiTheme="minorHAnsi" w:hAnsiTheme="minorHAnsi" w:cstheme="minorHAnsi"/>
                <w:lang w:val="en-GB"/>
              </w:rPr>
              <w:t xml:space="preserve">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Kurt</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Beckers</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Methodeschool Serafijn</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Stijn</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De Milde</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VKS </w:t>
            </w:r>
            <w:proofErr w:type="spellStart"/>
            <w:r w:rsidRPr="00466993">
              <w:rPr>
                <w:rFonts w:asciiTheme="minorHAnsi" w:hAnsiTheme="minorHAnsi" w:cstheme="minorHAnsi"/>
              </w:rPr>
              <w:t>Sancta</w:t>
            </w:r>
            <w:proofErr w:type="spellEnd"/>
            <w:r w:rsidRPr="00466993">
              <w:rPr>
                <w:rFonts w:asciiTheme="minorHAnsi" w:hAnsiTheme="minorHAnsi" w:cstheme="minorHAnsi"/>
              </w:rPr>
              <w:t xml:space="preserve"> Maria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Lieven</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De Vleeschouwer</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VLS </w:t>
            </w:r>
            <w:proofErr w:type="spellStart"/>
            <w:r w:rsidRPr="00466993">
              <w:rPr>
                <w:rFonts w:asciiTheme="minorHAnsi" w:hAnsiTheme="minorHAnsi" w:cstheme="minorHAnsi"/>
              </w:rPr>
              <w:t>Sancta</w:t>
            </w:r>
            <w:proofErr w:type="spellEnd"/>
            <w:r w:rsidRPr="00466993">
              <w:rPr>
                <w:rFonts w:asciiTheme="minorHAnsi" w:hAnsiTheme="minorHAnsi" w:cstheme="minorHAnsi"/>
              </w:rPr>
              <w:t xml:space="preserve"> Maria</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Ariane</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Vanlulle</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VLS </w:t>
            </w:r>
            <w:proofErr w:type="spellStart"/>
            <w:r w:rsidRPr="00466993">
              <w:rPr>
                <w:rFonts w:asciiTheme="minorHAnsi" w:hAnsiTheme="minorHAnsi" w:cstheme="minorHAnsi"/>
              </w:rPr>
              <w:t>Sancta</w:t>
            </w:r>
            <w:proofErr w:type="spellEnd"/>
            <w:r w:rsidRPr="00466993">
              <w:rPr>
                <w:rFonts w:asciiTheme="minorHAnsi" w:hAnsiTheme="minorHAnsi" w:cstheme="minorHAnsi"/>
              </w:rPr>
              <w:t xml:space="preserve"> Maria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Henk</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Dhondt</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Glorieux</w:t>
            </w:r>
            <w:proofErr w:type="spellEnd"/>
            <w:r w:rsidRPr="00466993">
              <w:rPr>
                <w:rFonts w:asciiTheme="minorHAnsi" w:hAnsiTheme="minorHAnsi" w:cstheme="minorHAnsi"/>
              </w:rPr>
              <w:t xml:space="preserve">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Hilde</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d'Hoop</w:t>
            </w:r>
            <w:proofErr w:type="spellEnd"/>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St Antonius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Fabian</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lang w:val="fr-FR"/>
              </w:rPr>
            </w:pPr>
            <w:r w:rsidRPr="00466993">
              <w:rPr>
                <w:rFonts w:asciiTheme="minorHAnsi" w:hAnsiTheme="minorHAnsi" w:cstheme="minorHAnsi"/>
                <w:lang w:val="fr-FR"/>
              </w:rPr>
              <w:t>De Ruyck</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St Antonius I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Els</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Kelem</w:t>
            </w:r>
            <w:proofErr w:type="spellEnd"/>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St Antonius II  </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9072" w:type="dxa"/>
            <w:gridSpan w:val="4"/>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IM scholen in het werkgebied</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Ludwig</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Van </w:t>
            </w:r>
            <w:proofErr w:type="spellStart"/>
            <w:r w:rsidRPr="00466993">
              <w:rPr>
                <w:rFonts w:asciiTheme="minorHAnsi" w:hAnsiTheme="minorHAnsi" w:cstheme="minorHAnsi"/>
              </w:rPr>
              <w:t>Tendeloo</w:t>
            </w:r>
            <w:proofErr w:type="spellEnd"/>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Scholengroep 21</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Chris </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Keymeulen</w:t>
            </w:r>
            <w:proofErr w:type="spellEnd"/>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IM VKORR</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Kurt</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Beckers</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Methodeschool Serafijn</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rPr>
          <w:cantSplit/>
          <w:trHeight w:val="113"/>
        </w:trPr>
        <w:tc>
          <w:tcPr>
            <w:tcW w:w="9072" w:type="dxa"/>
            <w:gridSpan w:val="4"/>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Directies van scholen voor BO, niet gelegen in het werkingsgebied, maar waarmee frequente leerlingenstromen bestaan</w:t>
            </w:r>
          </w:p>
        </w:tc>
      </w:tr>
      <w:tr w:rsidR="004F0F6D" w:rsidRPr="00466993" w:rsidTr="00CF15CC">
        <w:trPr>
          <w:cantSplit/>
          <w:trHeight w:val="20"/>
        </w:trPr>
        <w:tc>
          <w:tcPr>
            <w:tcW w:w="1560"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Charlotte</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Vossen</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BuO</w:t>
            </w:r>
            <w:proofErr w:type="spellEnd"/>
            <w:r w:rsidRPr="00466993">
              <w:rPr>
                <w:rFonts w:asciiTheme="minorHAnsi" w:hAnsiTheme="minorHAnsi" w:cstheme="minorHAnsi"/>
              </w:rPr>
              <w:t xml:space="preserve"> De Horizon/ De Kameleon</w:t>
            </w:r>
          </w:p>
        </w:tc>
        <w:tc>
          <w:tcPr>
            <w:tcW w:w="567" w:type="dxa"/>
            <w:vMerge w:val="restart"/>
            <w:shd w:val="solid" w:color="FFFFFF" w:fill="auto"/>
            <w:vAlign w:val="center"/>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rPr>
          <w:cantSplit/>
          <w:trHeight w:val="20"/>
        </w:trPr>
        <w:tc>
          <w:tcPr>
            <w:tcW w:w="1560"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Bart</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Dierckx</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BuO</w:t>
            </w:r>
            <w:proofErr w:type="spellEnd"/>
            <w:r w:rsidRPr="00466993">
              <w:rPr>
                <w:rFonts w:asciiTheme="minorHAnsi" w:hAnsiTheme="minorHAnsi" w:cstheme="minorHAnsi"/>
              </w:rPr>
              <w:t xml:space="preserve"> De Horizon/ De Kameleon</w:t>
            </w:r>
          </w:p>
        </w:tc>
        <w:tc>
          <w:tcPr>
            <w:tcW w:w="567" w:type="dxa"/>
            <w:vMerge/>
            <w:shd w:val="solid" w:color="FFFFFF" w:fill="auto"/>
            <w:vAlign w:val="center"/>
          </w:tcPr>
          <w:p w:rsidR="004F0F6D" w:rsidRPr="00466993" w:rsidRDefault="004F0F6D" w:rsidP="00BC0681">
            <w:pPr>
              <w:spacing w:line="276" w:lineRule="auto"/>
              <w:jc w:val="both"/>
              <w:rPr>
                <w:rFonts w:asciiTheme="minorHAnsi" w:hAnsiTheme="minorHAnsi" w:cstheme="minorHAnsi"/>
              </w:rPr>
            </w:pPr>
          </w:p>
        </w:tc>
      </w:tr>
      <w:tr w:rsidR="004F0F6D" w:rsidRPr="00466993" w:rsidTr="00CF15CC">
        <w:trPr>
          <w:cantSplit/>
          <w:trHeight w:val="20"/>
        </w:trPr>
        <w:tc>
          <w:tcPr>
            <w:tcW w:w="1560"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Wim</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Van Nieuwenhuize</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VBS </w:t>
            </w:r>
            <w:proofErr w:type="spellStart"/>
            <w:r w:rsidRPr="00466993">
              <w:rPr>
                <w:rFonts w:asciiTheme="minorHAnsi" w:hAnsiTheme="minorHAnsi" w:cstheme="minorHAnsi"/>
              </w:rPr>
              <w:t>BuO</w:t>
            </w:r>
            <w:proofErr w:type="spellEnd"/>
            <w:r w:rsidRPr="00466993">
              <w:rPr>
                <w:rFonts w:asciiTheme="minorHAnsi" w:hAnsiTheme="minorHAnsi" w:cstheme="minorHAnsi"/>
              </w:rPr>
              <w:t xml:space="preserve"> Levensblij</w:t>
            </w:r>
          </w:p>
        </w:tc>
        <w:tc>
          <w:tcPr>
            <w:tcW w:w="56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r w:rsidR="004F0F6D" w:rsidRPr="00466993" w:rsidTr="00CF15CC">
        <w:trPr>
          <w:cantSplit/>
          <w:trHeight w:val="20"/>
        </w:trPr>
        <w:tc>
          <w:tcPr>
            <w:tcW w:w="1560"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Martine</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Vermeersch</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lang w:val="en-GB"/>
              </w:rPr>
            </w:pPr>
            <w:r w:rsidRPr="00466993">
              <w:rPr>
                <w:rFonts w:asciiTheme="minorHAnsi" w:hAnsiTheme="minorHAnsi" w:cstheme="minorHAnsi"/>
                <w:lang w:val="en-GB"/>
              </w:rPr>
              <w:t xml:space="preserve">MPI GO ’t </w:t>
            </w:r>
            <w:proofErr w:type="spellStart"/>
            <w:r w:rsidRPr="00466993">
              <w:rPr>
                <w:rFonts w:asciiTheme="minorHAnsi" w:hAnsiTheme="minorHAnsi" w:cstheme="minorHAnsi"/>
                <w:lang w:val="en-GB"/>
              </w:rPr>
              <w:t>Craeneveld</w:t>
            </w:r>
            <w:proofErr w:type="spellEnd"/>
          </w:p>
        </w:tc>
        <w:tc>
          <w:tcPr>
            <w:tcW w:w="56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r w:rsidR="004F0F6D" w:rsidRPr="00466993" w:rsidTr="00CF15CC">
        <w:trPr>
          <w:cantSplit/>
          <w:trHeight w:val="113"/>
        </w:trPr>
        <w:tc>
          <w:tcPr>
            <w:tcW w:w="9072" w:type="dxa"/>
            <w:gridSpan w:val="4"/>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Besturen van scholen voor BO, niet gelegen in het werkingsgebied, maar waarmee frequente leerlingenstromen bestaan</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Caroline</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Van Driessche</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KBO Oudenaarde</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Dirk</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Moulart</w:t>
            </w:r>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Scholengroep 21</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Directies CLB</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Katia</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Moerman</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BA308B" w:rsidP="00BC0681">
            <w:pPr>
              <w:spacing w:line="276" w:lineRule="auto"/>
              <w:jc w:val="both"/>
              <w:rPr>
                <w:rFonts w:asciiTheme="minorHAnsi" w:hAnsiTheme="minorHAnsi" w:cstheme="minorHAnsi"/>
              </w:rPr>
            </w:pPr>
            <w:r>
              <w:rPr>
                <w:rFonts w:asciiTheme="minorHAnsi" w:hAnsiTheme="minorHAnsi" w:cstheme="minorHAnsi"/>
              </w:rPr>
              <w:t>Elke</w:t>
            </w:r>
          </w:p>
        </w:tc>
        <w:tc>
          <w:tcPr>
            <w:tcW w:w="2268" w:type="dxa"/>
            <w:tcBorders>
              <w:top w:val="single" w:sz="6" w:space="0" w:color="C0C0C0"/>
              <w:left w:val="single" w:sz="6" w:space="0" w:color="C0C0C0"/>
              <w:right w:val="single" w:sz="6" w:space="0" w:color="C0C0C0"/>
            </w:tcBorders>
            <w:shd w:val="solid" w:color="FFFFFF" w:fill="auto"/>
            <w:vAlign w:val="center"/>
          </w:tcPr>
          <w:p w:rsidR="004F0F6D" w:rsidRPr="00466993" w:rsidRDefault="00BA308B" w:rsidP="00BC0681">
            <w:pPr>
              <w:spacing w:line="276" w:lineRule="auto"/>
              <w:jc w:val="both"/>
              <w:rPr>
                <w:rFonts w:asciiTheme="minorHAnsi" w:hAnsiTheme="minorHAnsi" w:cstheme="minorHAnsi"/>
              </w:rPr>
            </w:pPr>
            <w:proofErr w:type="spellStart"/>
            <w:r>
              <w:rPr>
                <w:rFonts w:asciiTheme="minorHAnsi" w:hAnsiTheme="minorHAnsi" w:cstheme="minorHAnsi"/>
              </w:rPr>
              <w:t>Thienpont</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C.L.B. GO</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2C01F4"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IM CLB</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Le Clercq</w:t>
            </w:r>
          </w:p>
        </w:tc>
        <w:tc>
          <w:tcPr>
            <w:tcW w:w="4677" w:type="dxa"/>
            <w:tcBorders>
              <w:top w:val="single" w:sz="6" w:space="0" w:color="C0C0C0"/>
              <w:left w:val="single" w:sz="6" w:space="0" w:color="C0C0C0"/>
              <w:bottom w:val="single" w:sz="6" w:space="0" w:color="C0C0C0"/>
              <w:right w:val="single" w:sz="6" w:space="0" w:color="C0C0C0"/>
            </w:tcBorders>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rPr>
          <w:cantSplit/>
          <w:trHeight w:val="113"/>
        </w:trPr>
        <w:tc>
          <w:tcPr>
            <w:tcW w:w="1560" w:type="dxa"/>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Ludwig</w:t>
            </w:r>
          </w:p>
        </w:tc>
        <w:tc>
          <w:tcPr>
            <w:tcW w:w="2268"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Van </w:t>
            </w:r>
            <w:proofErr w:type="spellStart"/>
            <w:r w:rsidRPr="00466993">
              <w:rPr>
                <w:rFonts w:asciiTheme="minorHAnsi" w:hAnsiTheme="minorHAnsi" w:cstheme="minorHAnsi"/>
              </w:rPr>
              <w:t>Tendeloo</w:t>
            </w:r>
            <w:proofErr w:type="spellEnd"/>
          </w:p>
        </w:tc>
        <w:tc>
          <w:tcPr>
            <w:tcW w:w="4677" w:type="dxa"/>
            <w:shd w:val="solid" w:color="FFFFFF" w:fill="auto"/>
            <w:vAlign w:val="center"/>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CLB GO</w:t>
            </w:r>
          </w:p>
        </w:tc>
        <w:tc>
          <w:tcPr>
            <w:tcW w:w="567" w:type="dxa"/>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A</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Vakorganisaties</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Ouderverenigingen</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Hélène</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De </w:t>
            </w:r>
            <w:proofErr w:type="spellStart"/>
            <w:r w:rsidRPr="00466993">
              <w:rPr>
                <w:rFonts w:asciiTheme="minorHAnsi" w:hAnsiTheme="minorHAnsi" w:cstheme="minorHAnsi"/>
              </w:rPr>
              <w:t>Rycke</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GO! Ouders</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Socio-culturele en socio-economische partners</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 xml:space="preserve">Verenigingen waar armen het woord nemen </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lastRenderedPageBreak/>
              <w:t xml:space="preserve">Organisaties van etnisch-culturele minderheden </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Safia</w:t>
            </w:r>
            <w:proofErr w:type="spellEnd"/>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Marzouki</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Vrouwen in Beweging</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Onthaalbureau</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Lisa</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Pr>
                <w:rFonts w:asciiTheme="minorHAnsi" w:hAnsiTheme="minorHAnsi" w:cstheme="minorHAnsi"/>
              </w:rPr>
              <w:t>Byttebier</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2C01F4" w:rsidP="00BC0681">
            <w:pPr>
              <w:spacing w:line="276" w:lineRule="auto"/>
              <w:jc w:val="both"/>
              <w:rPr>
                <w:rFonts w:asciiTheme="minorHAnsi" w:hAnsiTheme="minorHAnsi" w:cstheme="minorHAnsi"/>
              </w:rPr>
            </w:pPr>
            <w:r>
              <w:rPr>
                <w:rFonts w:asciiTheme="minorHAnsi" w:hAnsiTheme="minorHAnsi" w:cstheme="minorHAnsi"/>
              </w:rPr>
              <w:t>Agentschap Inburgering &amp; Integratie</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Integratiecentrum</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Melissa</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Papeleu</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2C01F4" w:rsidP="00BC0681">
            <w:pPr>
              <w:spacing w:line="276" w:lineRule="auto"/>
              <w:jc w:val="both"/>
              <w:rPr>
                <w:rFonts w:asciiTheme="minorHAnsi" w:hAnsiTheme="minorHAnsi" w:cstheme="minorHAnsi"/>
              </w:rPr>
            </w:pPr>
            <w:r>
              <w:rPr>
                <w:rFonts w:asciiTheme="minorHAnsi" w:hAnsiTheme="minorHAnsi" w:cstheme="minorHAnsi"/>
              </w:rPr>
              <w:t>Agentschap Inburgering &amp; Integratie</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Integratiedienst</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Luc</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Balcaen</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Onderwijsopbouwwerk</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Hennion</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Gecoöpteerde leden</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Edwin</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Verdoolaeghe</w:t>
            </w:r>
            <w:proofErr w:type="spellEnd"/>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Pr>
                <w:rFonts w:asciiTheme="minorHAnsi" w:hAnsiTheme="minorHAnsi" w:cstheme="minorHAnsi"/>
              </w:rPr>
              <w:t>V</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 xml:space="preserve">Kathleen </w:t>
            </w:r>
          </w:p>
        </w:tc>
        <w:tc>
          <w:tcPr>
            <w:tcW w:w="2268"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Tonneau</w:t>
            </w:r>
          </w:p>
        </w:tc>
        <w:tc>
          <w:tcPr>
            <w:tcW w:w="467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SG VKORR</w:t>
            </w:r>
          </w:p>
        </w:tc>
        <w:tc>
          <w:tcPr>
            <w:tcW w:w="567" w:type="dxa"/>
            <w:tcBorders>
              <w:top w:val="single" w:sz="6" w:space="0" w:color="C0C0C0"/>
              <w:left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A</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4F0F6D" w:rsidRPr="00466993" w:rsidRDefault="004F0F6D" w:rsidP="00BC0681">
            <w:pPr>
              <w:spacing w:line="276" w:lineRule="auto"/>
              <w:jc w:val="both"/>
              <w:rPr>
                <w:rFonts w:asciiTheme="minorHAnsi" w:hAnsiTheme="minorHAnsi" w:cstheme="minorHAnsi"/>
                <w:b/>
              </w:rPr>
            </w:pPr>
            <w:r w:rsidRPr="00466993">
              <w:rPr>
                <w:rFonts w:asciiTheme="minorHAnsi" w:hAnsiTheme="minorHAnsi" w:cstheme="minorHAnsi"/>
                <w:b/>
              </w:rPr>
              <w:t>Gemeentebestuur</w:t>
            </w:r>
          </w:p>
        </w:tc>
      </w:tr>
      <w:tr w:rsidR="004F0F6D" w:rsidRPr="00466993" w:rsidTr="00CF1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Joris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proofErr w:type="spellStart"/>
            <w:r w:rsidRPr="00466993">
              <w:rPr>
                <w:rFonts w:asciiTheme="minorHAnsi" w:hAnsiTheme="minorHAnsi" w:cstheme="minorHAnsi"/>
              </w:rPr>
              <w:t>Vandenhoucke</w:t>
            </w:r>
            <w:proofErr w:type="spellEnd"/>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F0F6D" w:rsidRPr="00466993" w:rsidRDefault="004F0F6D" w:rsidP="00BC0681">
            <w:pPr>
              <w:spacing w:line="276" w:lineRule="auto"/>
              <w:jc w:val="both"/>
              <w:rPr>
                <w:rFonts w:asciiTheme="minorHAnsi" w:hAnsiTheme="minorHAnsi" w:cstheme="minorHAnsi"/>
              </w:rPr>
            </w:pPr>
            <w:r w:rsidRPr="00466993">
              <w:rPr>
                <w:rFonts w:asciiTheme="minorHAnsi" w:hAnsiTheme="minorHAnsi" w:cstheme="minorHAnsi"/>
              </w:rPr>
              <w:t>V</w:t>
            </w:r>
          </w:p>
        </w:tc>
      </w:tr>
    </w:tbl>
    <w:p w:rsidR="004F0F6D" w:rsidRDefault="004F0F6D" w:rsidP="00BC0681">
      <w:pPr>
        <w:spacing w:line="276" w:lineRule="auto"/>
        <w:jc w:val="both"/>
      </w:pPr>
    </w:p>
    <w:p w:rsidR="001F74A8" w:rsidRPr="001F74A8" w:rsidRDefault="001F74A8" w:rsidP="00BC0681">
      <w:pPr>
        <w:spacing w:line="276" w:lineRule="auto"/>
        <w:jc w:val="both"/>
        <w:rPr>
          <w:i/>
        </w:rPr>
      </w:pPr>
      <w:r>
        <w:rPr>
          <w:i/>
        </w:rPr>
        <w:t>Uitgenodigd</w:t>
      </w:r>
    </w:p>
    <w:p w:rsidR="001F74A8" w:rsidRDefault="001F74A8" w:rsidP="00BC0681">
      <w:pPr>
        <w:spacing w:line="276" w:lineRule="auto"/>
        <w:jc w:val="both"/>
      </w:pPr>
    </w:p>
    <w:tbl>
      <w:tblPr>
        <w:tblW w:w="9072" w:type="dxa"/>
        <w:tblInd w:w="40" w:type="dxa"/>
        <w:tblLayout w:type="fixed"/>
        <w:tblCellMar>
          <w:left w:w="40" w:type="dxa"/>
          <w:right w:w="40" w:type="dxa"/>
        </w:tblCellMar>
        <w:tblLook w:val="0000" w:firstRow="0" w:lastRow="0" w:firstColumn="0" w:lastColumn="0" w:noHBand="0" w:noVBand="0"/>
      </w:tblPr>
      <w:tblGrid>
        <w:gridCol w:w="1560"/>
        <w:gridCol w:w="2268"/>
        <w:gridCol w:w="4677"/>
        <w:gridCol w:w="567"/>
      </w:tblGrid>
      <w:tr w:rsidR="001F74A8" w:rsidRPr="00466993" w:rsidTr="00CF15CC">
        <w:trPr>
          <w:cantSplit/>
          <w:trHeight w:val="113"/>
        </w:trPr>
        <w:tc>
          <w:tcPr>
            <w:tcW w:w="1560" w:type="dxa"/>
            <w:tcBorders>
              <w:top w:val="single" w:sz="6" w:space="0" w:color="C0C0C0"/>
              <w:left w:val="single" w:sz="6" w:space="0" w:color="C0C0C0"/>
              <w:right w:val="single" w:sz="6" w:space="0" w:color="C0C0C0"/>
            </w:tcBorders>
            <w:shd w:val="solid" w:color="FFFFFF" w:fill="auto"/>
          </w:tcPr>
          <w:p w:rsidR="001F74A8" w:rsidRPr="00466993" w:rsidRDefault="00402739" w:rsidP="00BC0681">
            <w:pPr>
              <w:spacing w:line="276" w:lineRule="auto"/>
              <w:jc w:val="both"/>
              <w:rPr>
                <w:rFonts w:asciiTheme="minorHAnsi" w:hAnsiTheme="minorHAnsi" w:cstheme="minorHAnsi"/>
              </w:rPr>
            </w:pPr>
            <w:r>
              <w:rPr>
                <w:rFonts w:asciiTheme="minorHAnsi" w:hAnsiTheme="minorHAnsi" w:cstheme="minorHAnsi"/>
              </w:rPr>
              <w:t>Johan</w:t>
            </w:r>
            <w:r w:rsidR="001F74A8" w:rsidRPr="00466993">
              <w:rPr>
                <w:rFonts w:asciiTheme="minorHAnsi" w:hAnsiTheme="minorHAnsi" w:cstheme="minorHAnsi"/>
              </w:rPr>
              <w:t xml:space="preserve"> </w:t>
            </w:r>
          </w:p>
        </w:tc>
        <w:tc>
          <w:tcPr>
            <w:tcW w:w="2268" w:type="dxa"/>
            <w:tcBorders>
              <w:top w:val="single" w:sz="6" w:space="0" w:color="C0C0C0"/>
              <w:left w:val="single" w:sz="6" w:space="0" w:color="C0C0C0"/>
              <w:right w:val="single" w:sz="6" w:space="0" w:color="C0C0C0"/>
            </w:tcBorders>
            <w:shd w:val="solid" w:color="FFFFFF" w:fill="auto"/>
          </w:tcPr>
          <w:p w:rsidR="001F74A8" w:rsidRPr="00466993" w:rsidRDefault="00402739" w:rsidP="00BC0681">
            <w:pPr>
              <w:spacing w:line="276" w:lineRule="auto"/>
              <w:jc w:val="both"/>
              <w:rPr>
                <w:rFonts w:asciiTheme="minorHAnsi" w:hAnsiTheme="minorHAnsi" w:cstheme="minorHAnsi"/>
              </w:rPr>
            </w:pPr>
            <w:r>
              <w:rPr>
                <w:rFonts w:asciiTheme="minorHAnsi" w:hAnsiTheme="minorHAnsi" w:cstheme="minorHAnsi"/>
              </w:rPr>
              <w:t xml:space="preserve">Van de </w:t>
            </w:r>
            <w:proofErr w:type="spellStart"/>
            <w:r>
              <w:rPr>
                <w:rFonts w:asciiTheme="minorHAnsi" w:hAnsiTheme="minorHAnsi" w:cstheme="minorHAnsi"/>
              </w:rPr>
              <w:t>Walle</w:t>
            </w:r>
            <w:proofErr w:type="spellEnd"/>
          </w:p>
        </w:tc>
        <w:tc>
          <w:tcPr>
            <w:tcW w:w="4677" w:type="dxa"/>
            <w:tcBorders>
              <w:top w:val="single" w:sz="6" w:space="0" w:color="C0C0C0"/>
              <w:left w:val="single" w:sz="6" w:space="0" w:color="C0C0C0"/>
              <w:right w:val="single" w:sz="6" w:space="0" w:color="C0C0C0"/>
            </w:tcBorders>
            <w:shd w:val="solid" w:color="FFFFFF" w:fill="auto"/>
          </w:tcPr>
          <w:p w:rsidR="001F74A8" w:rsidRPr="00466993" w:rsidRDefault="00402739" w:rsidP="00BC0681">
            <w:pPr>
              <w:spacing w:line="276" w:lineRule="auto"/>
              <w:jc w:val="both"/>
              <w:rPr>
                <w:rFonts w:asciiTheme="minorHAnsi" w:hAnsiTheme="minorHAnsi" w:cstheme="minorHAnsi"/>
              </w:rPr>
            </w:pPr>
            <w:r>
              <w:rPr>
                <w:rFonts w:asciiTheme="minorHAnsi" w:hAnsiTheme="minorHAnsi" w:cstheme="minorHAnsi"/>
              </w:rPr>
              <w:t>Vzw de Sleutel</w:t>
            </w:r>
          </w:p>
        </w:tc>
        <w:tc>
          <w:tcPr>
            <w:tcW w:w="567" w:type="dxa"/>
            <w:tcBorders>
              <w:top w:val="single" w:sz="6" w:space="0" w:color="C0C0C0"/>
              <w:left w:val="single" w:sz="6" w:space="0" w:color="C0C0C0"/>
              <w:right w:val="single" w:sz="6" w:space="0" w:color="C0C0C0"/>
            </w:tcBorders>
            <w:shd w:val="solid" w:color="FFFFFF" w:fill="auto"/>
          </w:tcPr>
          <w:p w:rsidR="001F74A8" w:rsidRPr="00466993" w:rsidRDefault="001F74A8" w:rsidP="00BC0681">
            <w:pPr>
              <w:spacing w:line="276" w:lineRule="auto"/>
              <w:jc w:val="both"/>
              <w:rPr>
                <w:rFonts w:asciiTheme="minorHAnsi" w:hAnsiTheme="minorHAnsi" w:cstheme="minorHAnsi"/>
              </w:rPr>
            </w:pPr>
            <w:r w:rsidRPr="00466993">
              <w:rPr>
                <w:rFonts w:asciiTheme="minorHAnsi" w:hAnsiTheme="minorHAnsi" w:cstheme="minorHAnsi"/>
              </w:rPr>
              <w:t>A</w:t>
            </w:r>
          </w:p>
        </w:tc>
      </w:tr>
    </w:tbl>
    <w:p w:rsidR="001F74A8" w:rsidRDefault="001F74A8" w:rsidP="00BC0681">
      <w:pPr>
        <w:spacing w:line="276" w:lineRule="auto"/>
        <w:jc w:val="both"/>
      </w:pPr>
    </w:p>
    <w:p w:rsidR="001F74A8" w:rsidRDefault="001F74A8" w:rsidP="00BC0681">
      <w:pPr>
        <w:spacing w:line="276" w:lineRule="auto"/>
        <w:jc w:val="both"/>
      </w:pPr>
    </w:p>
    <w:p w:rsidR="004F0F6D" w:rsidRPr="00466993" w:rsidRDefault="004F0F6D" w:rsidP="00BC0681">
      <w:pPr>
        <w:shd w:val="clear" w:color="auto" w:fill="D9D9D9" w:themeFill="background1" w:themeFillShade="D9"/>
        <w:spacing w:line="276" w:lineRule="auto"/>
        <w:jc w:val="both"/>
        <w:rPr>
          <w:rFonts w:asciiTheme="minorHAnsi" w:hAnsiTheme="minorHAnsi" w:cstheme="minorHAnsi"/>
          <w:b/>
        </w:rPr>
      </w:pPr>
      <w:r w:rsidRPr="00466993">
        <w:rPr>
          <w:rFonts w:asciiTheme="minorHAnsi" w:hAnsiTheme="minorHAnsi" w:cstheme="minorHAnsi"/>
          <w:b/>
        </w:rPr>
        <w:t>Volgende vergad</w:t>
      </w:r>
      <w:r w:rsidRPr="00466993">
        <w:rPr>
          <w:rFonts w:asciiTheme="minorHAnsi" w:hAnsiTheme="minorHAnsi" w:cstheme="minorHAnsi"/>
          <w:b/>
          <w:shd w:val="clear" w:color="auto" w:fill="D9D9D9" w:themeFill="background1" w:themeFillShade="D9"/>
        </w:rPr>
        <w:t>e</w:t>
      </w:r>
      <w:r w:rsidRPr="00466993">
        <w:rPr>
          <w:rFonts w:asciiTheme="minorHAnsi" w:hAnsiTheme="minorHAnsi" w:cstheme="minorHAnsi"/>
          <w:b/>
        </w:rPr>
        <w:t>ring</w:t>
      </w:r>
    </w:p>
    <w:p w:rsidR="004F0F6D" w:rsidRPr="00466993" w:rsidRDefault="004F0F6D" w:rsidP="00BC0681">
      <w:pPr>
        <w:spacing w:line="276" w:lineRule="auto"/>
        <w:jc w:val="both"/>
        <w:rPr>
          <w:rFonts w:asciiTheme="minorHAnsi" w:hAnsiTheme="minorHAnsi" w:cstheme="minorHAnsi"/>
        </w:rPr>
      </w:pPr>
    </w:p>
    <w:tbl>
      <w:tblPr>
        <w:tblStyle w:val="Tabelraster"/>
        <w:tblW w:w="9072" w:type="dxa"/>
        <w:tblInd w:w="108" w:type="dxa"/>
        <w:tblLook w:val="04A0" w:firstRow="1" w:lastRow="0" w:firstColumn="1" w:lastColumn="0" w:noHBand="0" w:noVBand="1"/>
      </w:tblPr>
      <w:tblGrid>
        <w:gridCol w:w="2296"/>
        <w:gridCol w:w="1944"/>
        <w:gridCol w:w="1997"/>
        <w:gridCol w:w="2835"/>
      </w:tblGrid>
      <w:tr w:rsidR="004F0F6D" w:rsidRPr="00466993" w:rsidTr="001F74A8">
        <w:tc>
          <w:tcPr>
            <w:tcW w:w="2296" w:type="dxa"/>
          </w:tcPr>
          <w:p w:rsidR="004F0F6D" w:rsidRPr="00466993" w:rsidRDefault="004F0F6D" w:rsidP="00BC0681">
            <w:pPr>
              <w:tabs>
                <w:tab w:val="left" w:pos="709"/>
              </w:tabs>
              <w:spacing w:line="276" w:lineRule="auto"/>
              <w:jc w:val="both"/>
              <w:rPr>
                <w:rFonts w:asciiTheme="minorHAnsi" w:hAnsiTheme="minorHAnsi" w:cstheme="minorHAnsi"/>
              </w:rPr>
            </w:pPr>
            <w:r w:rsidRPr="00466993">
              <w:rPr>
                <w:rFonts w:asciiTheme="minorHAnsi" w:hAnsiTheme="minorHAnsi" w:cstheme="minorHAnsi"/>
              </w:rPr>
              <w:t>Dagelijks Bestuur</w:t>
            </w:r>
          </w:p>
        </w:tc>
        <w:tc>
          <w:tcPr>
            <w:tcW w:w="1944" w:type="dxa"/>
          </w:tcPr>
          <w:p w:rsidR="004F0F6D" w:rsidRPr="00466993" w:rsidRDefault="004F0F6D" w:rsidP="00BC0681">
            <w:pPr>
              <w:tabs>
                <w:tab w:val="left" w:pos="709"/>
                <w:tab w:val="left" w:pos="6075"/>
              </w:tabs>
              <w:spacing w:line="276" w:lineRule="auto"/>
              <w:jc w:val="both"/>
              <w:rPr>
                <w:rFonts w:asciiTheme="minorHAnsi" w:hAnsiTheme="minorHAnsi" w:cstheme="minorHAnsi"/>
              </w:rPr>
            </w:pPr>
            <w:r w:rsidRPr="00466993">
              <w:rPr>
                <w:rFonts w:asciiTheme="minorHAnsi" w:hAnsiTheme="minorHAnsi" w:cstheme="minorHAnsi"/>
              </w:rPr>
              <w:t>18 juni 2015</w:t>
            </w:r>
          </w:p>
        </w:tc>
        <w:tc>
          <w:tcPr>
            <w:tcW w:w="1997" w:type="dxa"/>
          </w:tcPr>
          <w:p w:rsidR="004F0F6D" w:rsidRPr="00466993" w:rsidRDefault="004F0F6D" w:rsidP="00BC0681">
            <w:pPr>
              <w:tabs>
                <w:tab w:val="left" w:pos="6075"/>
              </w:tabs>
              <w:spacing w:line="276" w:lineRule="auto"/>
              <w:jc w:val="both"/>
              <w:rPr>
                <w:rFonts w:asciiTheme="minorHAnsi" w:hAnsiTheme="minorHAnsi" w:cstheme="minorHAnsi"/>
              </w:rPr>
            </w:pPr>
            <w:r w:rsidRPr="00466993">
              <w:rPr>
                <w:rFonts w:asciiTheme="minorHAnsi" w:hAnsiTheme="minorHAnsi" w:cstheme="minorHAnsi"/>
              </w:rPr>
              <w:t>13.30-15.30u</w:t>
            </w:r>
          </w:p>
        </w:tc>
        <w:tc>
          <w:tcPr>
            <w:tcW w:w="2835" w:type="dxa"/>
          </w:tcPr>
          <w:p w:rsidR="004F0F6D" w:rsidRPr="00466993" w:rsidRDefault="001438C5" w:rsidP="00BC0681">
            <w:pPr>
              <w:tabs>
                <w:tab w:val="left" w:pos="709"/>
              </w:tabs>
              <w:spacing w:line="276" w:lineRule="auto"/>
              <w:jc w:val="both"/>
              <w:rPr>
                <w:rFonts w:asciiTheme="minorHAnsi" w:hAnsiTheme="minorHAnsi" w:cstheme="minorHAnsi"/>
              </w:rPr>
            </w:pPr>
            <w:r>
              <w:rPr>
                <w:rFonts w:asciiTheme="minorHAnsi" w:hAnsiTheme="minorHAnsi" w:cstheme="minorHAnsi"/>
              </w:rPr>
              <w:t>BS GO! Decroly</w:t>
            </w:r>
          </w:p>
        </w:tc>
      </w:tr>
    </w:tbl>
    <w:p w:rsidR="004F0F6D" w:rsidRDefault="004F0F6D" w:rsidP="00BC0681">
      <w:pPr>
        <w:spacing w:line="276" w:lineRule="auto"/>
        <w:jc w:val="both"/>
        <w:rPr>
          <w:rStyle w:val="Zwaar"/>
          <w:rFonts w:asciiTheme="minorHAnsi" w:hAnsiTheme="minorHAnsi" w:cstheme="minorHAnsi"/>
          <w:b w:val="0"/>
        </w:rPr>
      </w:pPr>
    </w:p>
    <w:p w:rsidR="001438C5" w:rsidRPr="00466993" w:rsidRDefault="001438C5" w:rsidP="00BC0681">
      <w:pPr>
        <w:spacing w:line="276" w:lineRule="auto"/>
        <w:jc w:val="both"/>
        <w:rPr>
          <w:rStyle w:val="Zwaar"/>
          <w:rFonts w:asciiTheme="minorHAnsi" w:hAnsiTheme="minorHAnsi" w:cstheme="minorHAnsi"/>
          <w:b w:val="0"/>
        </w:rPr>
      </w:pPr>
    </w:p>
    <w:p w:rsidR="004F0F6D" w:rsidRPr="00466993" w:rsidRDefault="004F0F6D" w:rsidP="00BC0681">
      <w:pPr>
        <w:shd w:val="clear" w:color="auto" w:fill="BFBFBF" w:themeFill="background1" w:themeFillShade="BF"/>
        <w:spacing w:line="276" w:lineRule="auto"/>
        <w:jc w:val="both"/>
        <w:rPr>
          <w:rFonts w:asciiTheme="minorHAnsi" w:hAnsiTheme="minorHAnsi" w:cstheme="minorHAnsi"/>
          <w:b/>
        </w:rPr>
      </w:pPr>
      <w:r w:rsidRPr="00466993">
        <w:rPr>
          <w:rFonts w:asciiTheme="minorHAnsi" w:hAnsiTheme="minorHAnsi" w:cstheme="minorHAnsi"/>
          <w:b/>
        </w:rPr>
        <w:t>Bijlagen</w:t>
      </w:r>
    </w:p>
    <w:p w:rsidR="004F0F6D" w:rsidRPr="00466993" w:rsidRDefault="004F0F6D" w:rsidP="00BC0681">
      <w:pPr>
        <w:spacing w:line="276" w:lineRule="auto"/>
        <w:jc w:val="both"/>
        <w:rPr>
          <w:rStyle w:val="Zwaar"/>
          <w:rFonts w:asciiTheme="minorHAnsi" w:hAnsiTheme="minorHAnsi" w:cstheme="minorHAnsi"/>
          <w:b w:val="0"/>
        </w:rPr>
      </w:pPr>
    </w:p>
    <w:p w:rsidR="00C244C5" w:rsidRDefault="00C244C5" w:rsidP="00BC0681">
      <w:pPr>
        <w:pStyle w:val="Lijstalinea"/>
        <w:numPr>
          <w:ilvl w:val="0"/>
          <w:numId w:val="9"/>
        </w:numPr>
        <w:spacing w:line="276" w:lineRule="auto"/>
        <w:jc w:val="both"/>
        <w:rPr>
          <w:rStyle w:val="Zwaar"/>
          <w:rFonts w:asciiTheme="minorHAnsi" w:hAnsiTheme="minorHAnsi" w:cstheme="minorHAnsi"/>
          <w:b w:val="0"/>
        </w:rPr>
      </w:pPr>
      <w:r>
        <w:rPr>
          <w:rStyle w:val="Zwaar"/>
          <w:rFonts w:asciiTheme="minorHAnsi" w:hAnsiTheme="minorHAnsi" w:cstheme="minorHAnsi"/>
          <w:b w:val="0"/>
        </w:rPr>
        <w:t xml:space="preserve">Cijfergegevens evaluatie </w:t>
      </w:r>
      <w:r w:rsidRPr="00C244C5">
        <w:rPr>
          <w:rStyle w:val="Zwaar"/>
          <w:rFonts w:asciiTheme="minorHAnsi" w:hAnsiTheme="minorHAnsi" w:cstheme="minorHAnsi"/>
          <w:b w:val="0"/>
        </w:rPr>
        <w:t xml:space="preserve">Centrale aanmeldingsprocedure </w:t>
      </w:r>
      <w:r>
        <w:rPr>
          <w:rStyle w:val="Zwaar"/>
          <w:rFonts w:asciiTheme="minorHAnsi" w:hAnsiTheme="minorHAnsi" w:cstheme="minorHAnsi"/>
          <w:b w:val="0"/>
        </w:rPr>
        <w:t>voor de inschrijvingen voor 2015</w:t>
      </w:r>
      <w:r w:rsidRPr="00C244C5">
        <w:rPr>
          <w:rStyle w:val="Zwaar"/>
          <w:rFonts w:asciiTheme="minorHAnsi" w:hAnsiTheme="minorHAnsi" w:cstheme="minorHAnsi"/>
          <w:b w:val="0"/>
        </w:rPr>
        <w:t>-20</w:t>
      </w:r>
      <w:r>
        <w:rPr>
          <w:rStyle w:val="Zwaar"/>
          <w:rFonts w:asciiTheme="minorHAnsi" w:hAnsiTheme="minorHAnsi" w:cstheme="minorHAnsi"/>
          <w:b w:val="0"/>
        </w:rPr>
        <w:t>16</w:t>
      </w:r>
    </w:p>
    <w:p w:rsidR="004F0F6D" w:rsidRDefault="004F0F6D" w:rsidP="00BC0681">
      <w:pPr>
        <w:pStyle w:val="Lijstalinea"/>
        <w:numPr>
          <w:ilvl w:val="0"/>
          <w:numId w:val="9"/>
        </w:numPr>
        <w:spacing w:line="276" w:lineRule="auto"/>
        <w:jc w:val="both"/>
        <w:rPr>
          <w:rStyle w:val="Zwaar"/>
          <w:rFonts w:asciiTheme="minorHAnsi" w:hAnsiTheme="minorHAnsi" w:cstheme="minorHAnsi"/>
          <w:b w:val="0"/>
        </w:rPr>
      </w:pPr>
      <w:proofErr w:type="spellStart"/>
      <w:r w:rsidRPr="00C244C5">
        <w:rPr>
          <w:rStyle w:val="Zwaar"/>
          <w:rFonts w:asciiTheme="minorHAnsi" w:hAnsiTheme="minorHAnsi" w:cstheme="minorHAnsi"/>
          <w:b w:val="0"/>
        </w:rPr>
        <w:t>Powerpoint</w:t>
      </w:r>
      <w:proofErr w:type="spellEnd"/>
      <w:r w:rsidRPr="00C244C5">
        <w:rPr>
          <w:rStyle w:val="Zwaar"/>
          <w:rFonts w:asciiTheme="minorHAnsi" w:hAnsiTheme="minorHAnsi" w:cstheme="minorHAnsi"/>
          <w:b w:val="0"/>
        </w:rPr>
        <w:t xml:space="preserve"> </w:t>
      </w:r>
      <w:r w:rsidR="001F74A8" w:rsidRPr="00C244C5">
        <w:rPr>
          <w:rStyle w:val="Zwaar"/>
          <w:rFonts w:asciiTheme="minorHAnsi" w:hAnsiTheme="minorHAnsi" w:cstheme="minorHAnsi"/>
          <w:b w:val="0"/>
        </w:rPr>
        <w:t>presentatie</w:t>
      </w:r>
      <w:r w:rsidRPr="00C244C5">
        <w:rPr>
          <w:rStyle w:val="Zwaar"/>
          <w:rFonts w:asciiTheme="minorHAnsi" w:hAnsiTheme="minorHAnsi" w:cstheme="minorHAnsi"/>
          <w:b w:val="0"/>
        </w:rPr>
        <w:t xml:space="preserve">: </w:t>
      </w:r>
      <w:r w:rsidR="001F74A8" w:rsidRPr="00C244C5">
        <w:rPr>
          <w:rStyle w:val="Zwaar"/>
          <w:rFonts w:asciiTheme="minorHAnsi" w:hAnsiTheme="minorHAnsi" w:cstheme="minorHAnsi"/>
          <w:b w:val="0"/>
        </w:rPr>
        <w:t>Centrale aanmeldingsprocedure voor de inschrijvingen voor 2016-2017</w:t>
      </w:r>
    </w:p>
    <w:p w:rsidR="007C28F3" w:rsidRPr="00C244C5" w:rsidRDefault="007C28F3" w:rsidP="00BC0681">
      <w:pPr>
        <w:pStyle w:val="Lijstalinea"/>
        <w:numPr>
          <w:ilvl w:val="0"/>
          <w:numId w:val="9"/>
        </w:numPr>
        <w:spacing w:line="276" w:lineRule="auto"/>
        <w:jc w:val="both"/>
        <w:rPr>
          <w:rStyle w:val="Zwaar"/>
          <w:rFonts w:asciiTheme="minorHAnsi" w:hAnsiTheme="minorHAnsi" w:cstheme="minorHAnsi"/>
          <w:b w:val="0"/>
        </w:rPr>
      </w:pPr>
      <w:proofErr w:type="spellStart"/>
      <w:r>
        <w:rPr>
          <w:rStyle w:val="Zwaar"/>
          <w:rFonts w:asciiTheme="minorHAnsi" w:hAnsiTheme="minorHAnsi" w:cstheme="minorHAnsi"/>
          <w:b w:val="0"/>
        </w:rPr>
        <w:t>Powerpoint</w:t>
      </w:r>
      <w:proofErr w:type="spellEnd"/>
      <w:r>
        <w:rPr>
          <w:rStyle w:val="Zwaar"/>
          <w:rFonts w:asciiTheme="minorHAnsi" w:hAnsiTheme="minorHAnsi" w:cstheme="minorHAnsi"/>
          <w:b w:val="0"/>
        </w:rPr>
        <w:t xml:space="preserve"> presentatie </w:t>
      </w:r>
      <w:proofErr w:type="spellStart"/>
      <w:r>
        <w:rPr>
          <w:rStyle w:val="Zwaar"/>
          <w:rFonts w:asciiTheme="minorHAnsi" w:hAnsiTheme="minorHAnsi" w:cstheme="minorHAnsi"/>
          <w:b w:val="0"/>
        </w:rPr>
        <w:t>TOPspel</w:t>
      </w:r>
      <w:proofErr w:type="spellEnd"/>
      <w:r>
        <w:rPr>
          <w:rStyle w:val="Zwaar"/>
          <w:rFonts w:asciiTheme="minorHAnsi" w:hAnsiTheme="minorHAnsi" w:cstheme="minorHAnsi"/>
          <w:b w:val="0"/>
        </w:rPr>
        <w:t xml:space="preserve"> (vzw De Sleutel)</w:t>
      </w:r>
    </w:p>
    <w:p w:rsidR="004F0F6D" w:rsidRDefault="004F0F6D" w:rsidP="00BC0681">
      <w:pPr>
        <w:tabs>
          <w:tab w:val="left" w:pos="1843"/>
          <w:tab w:val="left" w:pos="3686"/>
          <w:tab w:val="left" w:pos="4820"/>
        </w:tabs>
        <w:spacing w:line="276" w:lineRule="auto"/>
        <w:jc w:val="both"/>
        <w:rPr>
          <w:rStyle w:val="Zwaar"/>
          <w:rFonts w:asciiTheme="minorHAnsi" w:hAnsiTheme="minorHAnsi" w:cstheme="minorHAnsi"/>
          <w:b w:val="0"/>
        </w:rPr>
      </w:pPr>
    </w:p>
    <w:p w:rsidR="001438C5" w:rsidRPr="00466993" w:rsidRDefault="001438C5" w:rsidP="00BC0681">
      <w:pPr>
        <w:tabs>
          <w:tab w:val="left" w:pos="1843"/>
          <w:tab w:val="left" w:pos="3686"/>
          <w:tab w:val="left" w:pos="4820"/>
        </w:tabs>
        <w:spacing w:line="276" w:lineRule="auto"/>
        <w:jc w:val="both"/>
        <w:rPr>
          <w:rStyle w:val="Zwaar"/>
          <w:rFonts w:asciiTheme="minorHAnsi" w:hAnsiTheme="minorHAnsi" w:cstheme="minorHAnsi"/>
          <w:b w:val="0"/>
        </w:rPr>
      </w:pPr>
    </w:p>
    <w:p w:rsidR="004F0F6D" w:rsidRPr="00466993" w:rsidRDefault="004F0F6D" w:rsidP="00BC0681">
      <w:pPr>
        <w:shd w:val="clear" w:color="auto" w:fill="BFBFBF" w:themeFill="background1" w:themeFillShade="BF"/>
        <w:spacing w:line="276" w:lineRule="auto"/>
        <w:jc w:val="both"/>
        <w:rPr>
          <w:rFonts w:asciiTheme="minorHAnsi" w:hAnsiTheme="minorHAnsi" w:cstheme="minorHAnsi"/>
          <w:b/>
        </w:rPr>
      </w:pPr>
      <w:r w:rsidRPr="00466993">
        <w:rPr>
          <w:rFonts w:asciiTheme="minorHAnsi" w:hAnsiTheme="minorHAnsi" w:cstheme="minorHAnsi"/>
          <w:b/>
        </w:rPr>
        <w:t>Agenda</w:t>
      </w:r>
    </w:p>
    <w:p w:rsidR="004F0F6D" w:rsidRPr="00466993" w:rsidRDefault="004F0F6D" w:rsidP="00BC0681">
      <w:pPr>
        <w:spacing w:line="276" w:lineRule="auto"/>
        <w:jc w:val="both"/>
        <w:rPr>
          <w:rStyle w:val="Zwaar"/>
          <w:rFonts w:asciiTheme="minorHAnsi" w:hAnsiTheme="minorHAnsi" w:cstheme="minorHAnsi"/>
          <w:b w:val="0"/>
        </w:rPr>
      </w:pPr>
    </w:p>
    <w:p w:rsidR="00C244C5" w:rsidRDefault="00C244C5" w:rsidP="00BC0681">
      <w:pPr>
        <w:pStyle w:val="Lijstalinea"/>
        <w:numPr>
          <w:ilvl w:val="0"/>
          <w:numId w:val="3"/>
        </w:numPr>
        <w:spacing w:line="276" w:lineRule="auto"/>
        <w:contextualSpacing/>
        <w:jc w:val="both"/>
        <w:rPr>
          <w:rStyle w:val="Zwaar"/>
          <w:rFonts w:asciiTheme="minorHAnsi" w:hAnsiTheme="minorHAnsi" w:cstheme="minorHAnsi"/>
          <w:b w:val="0"/>
        </w:rPr>
      </w:pPr>
      <w:r>
        <w:rPr>
          <w:rStyle w:val="Zwaar"/>
          <w:rFonts w:asciiTheme="minorHAnsi" w:hAnsiTheme="minorHAnsi" w:cstheme="minorHAnsi"/>
          <w:b w:val="0"/>
        </w:rPr>
        <w:t>Goedkeuring vorig verslag</w:t>
      </w:r>
    </w:p>
    <w:p w:rsidR="001F74A8" w:rsidRPr="001F74A8" w:rsidRDefault="001F74A8" w:rsidP="00BC0681">
      <w:pPr>
        <w:pStyle w:val="Lijstalinea"/>
        <w:numPr>
          <w:ilvl w:val="0"/>
          <w:numId w:val="3"/>
        </w:numPr>
        <w:spacing w:line="276" w:lineRule="auto"/>
        <w:contextualSpacing/>
        <w:jc w:val="both"/>
        <w:rPr>
          <w:rStyle w:val="Zwaar"/>
          <w:rFonts w:asciiTheme="minorHAnsi" w:hAnsiTheme="minorHAnsi" w:cstheme="minorHAnsi"/>
          <w:b w:val="0"/>
        </w:rPr>
      </w:pPr>
      <w:r w:rsidRPr="001F74A8">
        <w:rPr>
          <w:rStyle w:val="Zwaar"/>
          <w:rFonts w:asciiTheme="minorHAnsi" w:hAnsiTheme="minorHAnsi" w:cstheme="minorHAnsi"/>
          <w:b w:val="0"/>
        </w:rPr>
        <w:t>Centrale aanmeldingsprocedure voor de inschrijvingen voor 2016-2017</w:t>
      </w:r>
      <w:r w:rsidR="00BC3E78">
        <w:rPr>
          <w:rStyle w:val="Zwaar"/>
          <w:rFonts w:asciiTheme="minorHAnsi" w:hAnsiTheme="minorHAnsi" w:cstheme="minorHAnsi"/>
          <w:b w:val="0"/>
        </w:rPr>
        <w:t xml:space="preserve"> en volgende</w:t>
      </w:r>
    </w:p>
    <w:p w:rsidR="004F0F6D" w:rsidRPr="001F74A8" w:rsidRDefault="001F74A8" w:rsidP="00BC0681">
      <w:pPr>
        <w:pStyle w:val="Lijstalinea"/>
        <w:numPr>
          <w:ilvl w:val="0"/>
          <w:numId w:val="3"/>
        </w:numPr>
        <w:spacing w:line="276" w:lineRule="auto"/>
        <w:contextualSpacing/>
        <w:jc w:val="both"/>
        <w:rPr>
          <w:rStyle w:val="Zwaar"/>
          <w:rFonts w:asciiTheme="minorHAnsi" w:hAnsiTheme="minorHAnsi" w:cstheme="minorHAnsi"/>
          <w:b w:val="0"/>
        </w:rPr>
      </w:pPr>
      <w:r w:rsidRPr="001F74A8">
        <w:rPr>
          <w:rFonts w:asciiTheme="minorHAnsi" w:hAnsiTheme="minorHAnsi" w:cstheme="minorHAnsi"/>
        </w:rPr>
        <w:t xml:space="preserve">Presentatie </w:t>
      </w:r>
      <w:proofErr w:type="spellStart"/>
      <w:r w:rsidRPr="001F74A8">
        <w:rPr>
          <w:rFonts w:asciiTheme="minorHAnsi" w:hAnsiTheme="minorHAnsi" w:cstheme="minorHAnsi"/>
        </w:rPr>
        <w:t>TOPspel</w:t>
      </w:r>
      <w:proofErr w:type="spellEnd"/>
      <w:r w:rsidRPr="001F74A8">
        <w:rPr>
          <w:rFonts w:asciiTheme="minorHAnsi" w:hAnsiTheme="minorHAnsi" w:cstheme="minorHAnsi"/>
        </w:rPr>
        <w:t>, een methodiek voor omgaan met beginnend grensoverschrijdend gedrag in het basisonderwijs</w:t>
      </w:r>
      <w:r>
        <w:rPr>
          <w:rFonts w:asciiTheme="minorHAnsi" w:hAnsiTheme="minorHAnsi" w:cstheme="minorHAnsi"/>
        </w:rPr>
        <w:t xml:space="preserve"> (door vzw De Sleutel)</w:t>
      </w:r>
    </w:p>
    <w:p w:rsidR="004F0F6D" w:rsidRDefault="004F0F6D" w:rsidP="00BC0681">
      <w:pPr>
        <w:spacing w:line="276" w:lineRule="auto"/>
        <w:jc w:val="both"/>
        <w:rPr>
          <w:rStyle w:val="Zwaar"/>
          <w:rFonts w:asciiTheme="minorHAnsi" w:hAnsiTheme="minorHAnsi" w:cstheme="minorHAnsi"/>
          <w:b w:val="0"/>
        </w:rPr>
      </w:pPr>
    </w:p>
    <w:p w:rsidR="001438C5" w:rsidRDefault="001438C5" w:rsidP="00BC0681">
      <w:pPr>
        <w:spacing w:line="276" w:lineRule="auto"/>
        <w:jc w:val="both"/>
        <w:rPr>
          <w:rStyle w:val="Zwaar"/>
          <w:rFonts w:asciiTheme="minorHAnsi" w:hAnsiTheme="minorHAnsi" w:cstheme="minorHAnsi"/>
          <w:b w:val="0"/>
        </w:rPr>
      </w:pPr>
    </w:p>
    <w:p w:rsidR="001438C5" w:rsidRDefault="001438C5" w:rsidP="00BC0681">
      <w:pPr>
        <w:spacing w:line="276" w:lineRule="auto"/>
        <w:jc w:val="both"/>
        <w:rPr>
          <w:rStyle w:val="Zwaar"/>
          <w:rFonts w:asciiTheme="minorHAnsi" w:hAnsiTheme="minorHAnsi" w:cstheme="minorHAnsi"/>
          <w:b w:val="0"/>
        </w:rPr>
      </w:pPr>
    </w:p>
    <w:p w:rsidR="001438C5" w:rsidRDefault="001438C5" w:rsidP="00BC0681">
      <w:pPr>
        <w:spacing w:line="276" w:lineRule="auto"/>
        <w:jc w:val="both"/>
        <w:rPr>
          <w:rStyle w:val="Zwaar"/>
          <w:rFonts w:asciiTheme="minorHAnsi" w:hAnsiTheme="minorHAnsi" w:cstheme="minorHAnsi"/>
          <w:b w:val="0"/>
        </w:rPr>
      </w:pPr>
    </w:p>
    <w:p w:rsidR="001438C5" w:rsidRDefault="001438C5" w:rsidP="00BC0681">
      <w:pPr>
        <w:spacing w:line="276" w:lineRule="auto"/>
        <w:jc w:val="both"/>
        <w:rPr>
          <w:rStyle w:val="Zwaar"/>
          <w:rFonts w:asciiTheme="minorHAnsi" w:hAnsiTheme="minorHAnsi" w:cstheme="minorHAnsi"/>
          <w:b w:val="0"/>
        </w:rPr>
      </w:pPr>
    </w:p>
    <w:p w:rsidR="007B6DA3" w:rsidRDefault="007B6DA3" w:rsidP="00BC0681">
      <w:pPr>
        <w:spacing w:line="276" w:lineRule="auto"/>
        <w:jc w:val="both"/>
        <w:rPr>
          <w:rStyle w:val="Zwaar"/>
          <w:rFonts w:asciiTheme="minorHAnsi" w:hAnsiTheme="minorHAnsi" w:cstheme="minorHAnsi"/>
          <w:b w:val="0"/>
        </w:rPr>
      </w:pPr>
    </w:p>
    <w:p w:rsidR="001438C5" w:rsidRDefault="001438C5" w:rsidP="00BC0681">
      <w:pPr>
        <w:spacing w:line="276" w:lineRule="auto"/>
        <w:jc w:val="both"/>
        <w:rPr>
          <w:rStyle w:val="Zwaar"/>
          <w:rFonts w:asciiTheme="minorHAnsi" w:hAnsiTheme="minorHAnsi" w:cstheme="minorHAnsi"/>
          <w:b w:val="0"/>
        </w:rPr>
      </w:pPr>
    </w:p>
    <w:p w:rsidR="004F0F6D" w:rsidRPr="00466993" w:rsidRDefault="004F0F6D" w:rsidP="00BC0681">
      <w:pPr>
        <w:shd w:val="clear" w:color="auto" w:fill="BFBFBF" w:themeFill="background1" w:themeFillShade="BF"/>
        <w:spacing w:line="276" w:lineRule="auto"/>
        <w:jc w:val="both"/>
        <w:rPr>
          <w:rFonts w:asciiTheme="minorHAnsi" w:hAnsiTheme="minorHAnsi" w:cstheme="minorHAnsi"/>
          <w:b/>
        </w:rPr>
      </w:pPr>
      <w:r w:rsidRPr="00466993">
        <w:rPr>
          <w:rFonts w:asciiTheme="minorHAnsi" w:hAnsiTheme="minorHAnsi" w:cstheme="minorHAnsi"/>
          <w:b/>
        </w:rPr>
        <w:lastRenderedPageBreak/>
        <w:t>Verslag</w:t>
      </w:r>
    </w:p>
    <w:p w:rsidR="004F0F6D" w:rsidRDefault="004F0F6D" w:rsidP="00BC0681">
      <w:pPr>
        <w:spacing w:line="276" w:lineRule="auto"/>
        <w:jc w:val="both"/>
        <w:rPr>
          <w:rStyle w:val="Zwaar"/>
          <w:rFonts w:asciiTheme="minorHAnsi" w:hAnsiTheme="minorHAnsi" w:cstheme="minorHAnsi"/>
          <w:b w:val="0"/>
        </w:rPr>
      </w:pPr>
    </w:p>
    <w:p w:rsidR="00C244C5" w:rsidRPr="00C244C5" w:rsidRDefault="00C244C5" w:rsidP="00BC0681">
      <w:pPr>
        <w:pStyle w:val="Lijstalinea"/>
        <w:numPr>
          <w:ilvl w:val="0"/>
          <w:numId w:val="10"/>
        </w:numPr>
        <w:shd w:val="clear" w:color="auto" w:fill="F2F2F2" w:themeFill="background1" w:themeFillShade="F2"/>
        <w:spacing w:line="276" w:lineRule="auto"/>
        <w:contextualSpacing/>
        <w:jc w:val="both"/>
        <w:rPr>
          <w:rFonts w:asciiTheme="minorHAnsi" w:hAnsiTheme="minorHAnsi" w:cstheme="minorHAnsi"/>
        </w:rPr>
      </w:pPr>
      <w:r w:rsidRPr="00C244C5">
        <w:rPr>
          <w:rFonts w:asciiTheme="minorHAnsi" w:hAnsiTheme="minorHAnsi" w:cstheme="minorHAnsi"/>
        </w:rPr>
        <w:t>Goedkeuring vorig verslag</w:t>
      </w:r>
    </w:p>
    <w:p w:rsidR="00C244C5" w:rsidRPr="00E962F6" w:rsidRDefault="00C244C5" w:rsidP="00BC0681">
      <w:pPr>
        <w:spacing w:line="276" w:lineRule="auto"/>
        <w:jc w:val="both"/>
        <w:rPr>
          <w:rFonts w:asciiTheme="minorHAnsi" w:hAnsiTheme="minorHAnsi" w:cstheme="minorHAnsi"/>
        </w:rPr>
      </w:pPr>
    </w:p>
    <w:p w:rsidR="00C244C5" w:rsidRPr="00E962F6" w:rsidRDefault="00C244C5" w:rsidP="00BC0681">
      <w:pPr>
        <w:spacing w:line="276" w:lineRule="auto"/>
        <w:jc w:val="both"/>
        <w:rPr>
          <w:rFonts w:asciiTheme="minorHAnsi" w:hAnsiTheme="minorHAnsi" w:cstheme="minorHAnsi"/>
        </w:rPr>
      </w:pPr>
      <w:r w:rsidRPr="00E962F6">
        <w:rPr>
          <w:rFonts w:asciiTheme="minorHAnsi" w:hAnsiTheme="minorHAnsi" w:cstheme="minorHAnsi"/>
        </w:rPr>
        <w:t xml:space="preserve">Er zijn geen opmerkingen bij het verslag van </w:t>
      </w:r>
      <w:r w:rsidR="0035540A">
        <w:rPr>
          <w:rFonts w:asciiTheme="minorHAnsi" w:hAnsiTheme="minorHAnsi" w:cstheme="minorHAnsi"/>
        </w:rPr>
        <w:t>de Algemene Vergadering van 23 f</w:t>
      </w:r>
      <w:r>
        <w:rPr>
          <w:rFonts w:asciiTheme="minorHAnsi" w:hAnsiTheme="minorHAnsi" w:cstheme="minorHAnsi"/>
        </w:rPr>
        <w:t>ebruari</w:t>
      </w:r>
      <w:r w:rsidRPr="00E962F6">
        <w:rPr>
          <w:rFonts w:asciiTheme="minorHAnsi" w:hAnsiTheme="minorHAnsi" w:cstheme="minorHAnsi"/>
        </w:rPr>
        <w:t xml:space="preserve"> 2015. Het verslag is bijgevolg goedgekeurd.</w:t>
      </w:r>
    </w:p>
    <w:p w:rsidR="00C244C5" w:rsidRPr="00466993" w:rsidRDefault="00C244C5" w:rsidP="00BC0681">
      <w:pPr>
        <w:spacing w:line="276" w:lineRule="auto"/>
        <w:jc w:val="both"/>
        <w:rPr>
          <w:rStyle w:val="Zwaar"/>
          <w:rFonts w:asciiTheme="minorHAnsi" w:hAnsiTheme="minorHAnsi" w:cstheme="minorHAnsi"/>
          <w:b w:val="0"/>
        </w:rPr>
      </w:pPr>
    </w:p>
    <w:p w:rsidR="004F0F6D" w:rsidRPr="00BC3E78" w:rsidRDefault="00BC3E78" w:rsidP="00402739">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BC3E78">
        <w:rPr>
          <w:rStyle w:val="Zwaar"/>
          <w:rFonts w:asciiTheme="minorHAnsi" w:hAnsiTheme="minorHAnsi" w:cstheme="minorHAnsi"/>
          <w:b w:val="0"/>
        </w:rPr>
        <w:t>Centrale aanmeldingsprocedure voor de inschrijvingen voor 2016-2017 en volgende</w:t>
      </w:r>
    </w:p>
    <w:p w:rsidR="004F0F6D" w:rsidRDefault="004F0F6D" w:rsidP="00BC0681">
      <w:pPr>
        <w:spacing w:line="276" w:lineRule="auto"/>
        <w:jc w:val="both"/>
      </w:pPr>
    </w:p>
    <w:p w:rsidR="004F0F6D" w:rsidRDefault="00C244C5" w:rsidP="00BC0681">
      <w:pPr>
        <w:spacing w:line="276" w:lineRule="auto"/>
        <w:jc w:val="both"/>
      </w:pPr>
      <w:r>
        <w:t>Uit de voornaamste cijfergegevens (zie bijlage 1) mogen we besluiten dat de aanmeldingsprocedure voor 2015-2016 goed verlopen is:</w:t>
      </w:r>
    </w:p>
    <w:p w:rsidR="00141046" w:rsidRDefault="00141046" w:rsidP="00BC0681">
      <w:pPr>
        <w:pStyle w:val="Lijstalinea"/>
        <w:numPr>
          <w:ilvl w:val="0"/>
          <w:numId w:val="11"/>
        </w:numPr>
        <w:spacing w:line="276" w:lineRule="auto"/>
        <w:jc w:val="both"/>
      </w:pPr>
      <w:r>
        <w:t>Er zijn geen klachten van ouders of van scholen</w:t>
      </w:r>
      <w:r w:rsidR="00BC0681">
        <w:t xml:space="preserve"> binnengekomen</w:t>
      </w:r>
    </w:p>
    <w:p w:rsidR="00C244C5" w:rsidRDefault="00C244C5" w:rsidP="00BC0681">
      <w:pPr>
        <w:pStyle w:val="Lijstalinea"/>
        <w:numPr>
          <w:ilvl w:val="0"/>
          <w:numId w:val="11"/>
        </w:numPr>
        <w:spacing w:line="276" w:lineRule="auto"/>
        <w:jc w:val="both"/>
      </w:pPr>
      <w:r>
        <w:t xml:space="preserve">Het doelpubliek is even goed bereikt. Er waren 25 aanmeldingen minder, maar er waren ongeveer evenveel instappertjes minder in Ronse. Van de </w:t>
      </w:r>
      <w:proofErr w:type="spellStart"/>
      <w:r>
        <w:t>Ronsese</w:t>
      </w:r>
      <w:proofErr w:type="spellEnd"/>
      <w:r>
        <w:t xml:space="preserve"> instappertjes is 31% aangemeld, d.i. net hetzelfde % als vorig schooljaar. Traditioneel vormen de broers/zussen ook een flink derde. Het laatste derde deel wordt gevormd door leerlingen die inschrijven in het Franstalig onderwijs, in scholen in de omliggende gemeenten en leerlingen die nog nergens zijn ingeschreven.</w:t>
      </w:r>
    </w:p>
    <w:p w:rsidR="00141046" w:rsidRDefault="00141046" w:rsidP="00BC0681">
      <w:pPr>
        <w:pStyle w:val="Lijstalinea"/>
        <w:numPr>
          <w:ilvl w:val="0"/>
          <w:numId w:val="11"/>
        </w:numPr>
        <w:spacing w:line="276" w:lineRule="auto"/>
        <w:contextualSpacing/>
        <w:jc w:val="both"/>
      </w:pPr>
      <w:r w:rsidRPr="00777384">
        <w:t>Ten opzichte van vorig schooljaar waren er minder toewijzingen 1</w:t>
      </w:r>
      <w:r w:rsidRPr="00777384">
        <w:rPr>
          <w:vertAlign w:val="superscript"/>
        </w:rPr>
        <w:t>ste</w:t>
      </w:r>
      <w:r w:rsidRPr="00777384">
        <w:t xml:space="preserve"> keuze en meer toewijzingen </w:t>
      </w:r>
      <w:r w:rsidRPr="00E962F6">
        <w:t>2</w:t>
      </w:r>
      <w:r w:rsidRPr="00E962F6">
        <w:rPr>
          <w:vertAlign w:val="superscript"/>
        </w:rPr>
        <w:t>de</w:t>
      </w:r>
      <w:r w:rsidRPr="00E962F6">
        <w:t xml:space="preserve"> keuze. De weigeringen vonden plaats in de kleinere scholen/vestigingen (methodescholen, wijkscholen).  De aantallen 3</w:t>
      </w:r>
      <w:r w:rsidRPr="00E962F6">
        <w:rPr>
          <w:vertAlign w:val="superscript"/>
        </w:rPr>
        <w:t>de</w:t>
      </w:r>
      <w:r w:rsidRPr="00E962F6">
        <w:t xml:space="preserve"> keuze </w:t>
      </w:r>
      <w:r>
        <w:t xml:space="preserve">(3) </w:t>
      </w:r>
      <w:r w:rsidRPr="00E962F6">
        <w:t>en zonder toewij</w:t>
      </w:r>
      <w:r>
        <w:t>zing (4</w:t>
      </w:r>
      <w:r w:rsidRPr="00E962F6">
        <w:t xml:space="preserve">) zijn </w:t>
      </w:r>
      <w:r>
        <w:t xml:space="preserve">zeer </w:t>
      </w:r>
      <w:r w:rsidRPr="00E962F6">
        <w:t>klein.</w:t>
      </w:r>
    </w:p>
    <w:p w:rsidR="00EF52A0" w:rsidRPr="00E962F6" w:rsidRDefault="00EF52A0" w:rsidP="00BC0681">
      <w:pPr>
        <w:pStyle w:val="Lijstalinea"/>
        <w:numPr>
          <w:ilvl w:val="0"/>
          <w:numId w:val="11"/>
        </w:numPr>
        <w:spacing w:line="276" w:lineRule="auto"/>
        <w:contextualSpacing/>
        <w:jc w:val="both"/>
      </w:pPr>
      <w:r>
        <w:t xml:space="preserve">Gezien de prognoses over een stijgend aantal leerlingen in het komend decennium is het capaciteitstekort in verschillende scholen een kwestie die aan de orde </w:t>
      </w:r>
      <w:proofErr w:type="spellStart"/>
      <w:r>
        <w:t>bllijft</w:t>
      </w:r>
      <w:proofErr w:type="spellEnd"/>
    </w:p>
    <w:p w:rsidR="00C244C5" w:rsidRDefault="00C244C5" w:rsidP="00BC0681">
      <w:pPr>
        <w:spacing w:line="276" w:lineRule="auto"/>
        <w:jc w:val="both"/>
      </w:pPr>
    </w:p>
    <w:p w:rsidR="00BC0681" w:rsidRDefault="00BC0681" w:rsidP="00BC0681">
      <w:pPr>
        <w:spacing w:line="276" w:lineRule="auto"/>
        <w:jc w:val="both"/>
      </w:pPr>
      <w:r>
        <w:t xml:space="preserve">Voor de komende centrale aanmeldingsprocedure behouden we dezelfde keuzes. </w:t>
      </w:r>
    </w:p>
    <w:p w:rsidR="00C244C5" w:rsidRDefault="00BC0681" w:rsidP="00BC0681">
      <w:pPr>
        <w:spacing w:line="276" w:lineRule="auto"/>
        <w:jc w:val="both"/>
      </w:pPr>
      <w:r>
        <w:t xml:space="preserve">Er is echter één structureel verschil, waardoor een nieuw dossier en goedkeuring door de Commissie Leerlingenrechten nodig is, nl. de keuze van basisschool Serafijn om ook de voorrangsgroepen kinderen van dezelfde leefeenheid </w:t>
      </w:r>
      <w:r w:rsidR="00E54099">
        <w:t xml:space="preserve">(KDL) </w:t>
      </w:r>
      <w:r>
        <w:t xml:space="preserve">en kinderen van schoolpersoneel </w:t>
      </w:r>
      <w:r w:rsidR="00E54099">
        <w:t xml:space="preserve">(KVS) </w:t>
      </w:r>
      <w:r>
        <w:t xml:space="preserve">te laten aanmelden. Dit kan weliswaar gebeuren op een wijze waardoor Serafijn ook binnen de centrale aanmeldingsprocedure geïntegreerd blijft, nl. door de overlapping van </w:t>
      </w:r>
      <w:r w:rsidR="00E54099">
        <w:t xml:space="preserve">de periodes ‘inschrijving van aangemelde KDL en KVS’ en ‘aanmelding van alle andere </w:t>
      </w:r>
      <w:proofErr w:type="spellStart"/>
      <w:r w:rsidR="00E54099">
        <w:t>andere</w:t>
      </w:r>
      <w:proofErr w:type="spellEnd"/>
      <w:r w:rsidR="00E54099">
        <w:t xml:space="preserve"> leerlingen’ in de maand februari.</w:t>
      </w:r>
    </w:p>
    <w:p w:rsidR="00E54099" w:rsidRDefault="00E54099" w:rsidP="00BC0681">
      <w:pPr>
        <w:spacing w:line="276" w:lineRule="auto"/>
        <w:jc w:val="both"/>
      </w:pPr>
    </w:p>
    <w:p w:rsidR="00E54099" w:rsidRDefault="00E54099" w:rsidP="00BC0681">
      <w:pPr>
        <w:spacing w:line="276" w:lineRule="auto"/>
        <w:jc w:val="both"/>
      </w:pPr>
      <w:r>
        <w:t>Het nieuwe dossier wordt ter goedkeuring voorgelegd voor onbepaalde tijd, dus niet alleen voor de inschrijvingen voor schooljaar 2016-2017.</w:t>
      </w:r>
    </w:p>
    <w:p w:rsidR="00E54099" w:rsidRDefault="00E54099" w:rsidP="00BC0681">
      <w:pPr>
        <w:spacing w:line="276" w:lineRule="auto"/>
        <w:jc w:val="both"/>
      </w:pPr>
    </w:p>
    <w:p w:rsidR="00E54099" w:rsidRDefault="00E54099" w:rsidP="00BC0681">
      <w:pPr>
        <w:spacing w:line="276" w:lineRule="auto"/>
        <w:jc w:val="both"/>
      </w:pPr>
      <w:r>
        <w:t>Met de niet-onderwijspartners zijn we niet in aantal om het dossier formeel goed te keuren. Daarom leggen we het in de loop van de maand juni nog eens ter stemming voor in een elektronische procedure, volgens de voorwaarden die beschreven zijn in het huishoudelijk reglement</w:t>
      </w:r>
      <w:r w:rsidR="00402739">
        <w:t>.</w:t>
      </w:r>
      <w:r w:rsidR="002A35E8">
        <w:t xml:space="preserve"> Bij die stemronde wordt het reglement, alsook de actuele ledensamenstelling van het LOP, meegegeven.</w:t>
      </w:r>
    </w:p>
    <w:p w:rsidR="00C244C5" w:rsidRDefault="00C244C5" w:rsidP="00BC0681">
      <w:pPr>
        <w:spacing w:line="276" w:lineRule="auto"/>
        <w:jc w:val="both"/>
      </w:pPr>
    </w:p>
    <w:p w:rsidR="007C28F3" w:rsidRPr="00BC3E78" w:rsidRDefault="007C28F3" w:rsidP="007C28F3">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Pr>
          <w:rStyle w:val="Zwaar"/>
          <w:rFonts w:asciiTheme="minorHAnsi" w:hAnsiTheme="minorHAnsi" w:cstheme="minorHAnsi"/>
          <w:b w:val="0"/>
        </w:rPr>
        <w:t xml:space="preserve">Presentatie </w:t>
      </w:r>
      <w:proofErr w:type="spellStart"/>
      <w:r>
        <w:rPr>
          <w:rStyle w:val="Zwaar"/>
          <w:rFonts w:asciiTheme="minorHAnsi" w:hAnsiTheme="minorHAnsi" w:cstheme="minorHAnsi"/>
          <w:b w:val="0"/>
        </w:rPr>
        <w:t>TOPspel</w:t>
      </w:r>
      <w:proofErr w:type="spellEnd"/>
      <w:r>
        <w:rPr>
          <w:rStyle w:val="Zwaar"/>
          <w:rFonts w:asciiTheme="minorHAnsi" w:hAnsiTheme="minorHAnsi" w:cstheme="minorHAnsi"/>
          <w:b w:val="0"/>
        </w:rPr>
        <w:t xml:space="preserve"> (Johan Van de </w:t>
      </w:r>
      <w:proofErr w:type="spellStart"/>
      <w:r>
        <w:rPr>
          <w:rStyle w:val="Zwaar"/>
          <w:rFonts w:asciiTheme="minorHAnsi" w:hAnsiTheme="minorHAnsi" w:cstheme="minorHAnsi"/>
          <w:b w:val="0"/>
        </w:rPr>
        <w:t>Walle</w:t>
      </w:r>
      <w:proofErr w:type="spellEnd"/>
      <w:r>
        <w:rPr>
          <w:rStyle w:val="Zwaar"/>
          <w:rFonts w:asciiTheme="minorHAnsi" w:hAnsiTheme="minorHAnsi" w:cstheme="minorHAnsi"/>
          <w:b w:val="0"/>
        </w:rPr>
        <w:t>, Team Preventie vzw De Sleutel)</w:t>
      </w:r>
    </w:p>
    <w:p w:rsidR="004F0F6D" w:rsidRDefault="004F0F6D" w:rsidP="00BC0681">
      <w:pPr>
        <w:spacing w:line="276" w:lineRule="auto"/>
        <w:jc w:val="both"/>
      </w:pPr>
    </w:p>
    <w:p w:rsidR="007C28F3" w:rsidRDefault="007C28F3" w:rsidP="00BC0681">
      <w:pPr>
        <w:spacing w:line="276" w:lineRule="auto"/>
        <w:jc w:val="both"/>
      </w:pPr>
      <w:r>
        <w:t xml:space="preserve">Johan Van de </w:t>
      </w:r>
      <w:proofErr w:type="spellStart"/>
      <w:r>
        <w:t>Walle</w:t>
      </w:r>
      <w:proofErr w:type="spellEnd"/>
      <w:r>
        <w:t xml:space="preserve"> presenteert TOP-spel, een methodiek gebaseerd op het Amerikaanse </w:t>
      </w:r>
      <w:proofErr w:type="spellStart"/>
      <w:r>
        <w:t>Good</w:t>
      </w:r>
      <w:proofErr w:type="spellEnd"/>
      <w:r>
        <w:t xml:space="preserve"> </w:t>
      </w:r>
      <w:proofErr w:type="spellStart"/>
      <w:r>
        <w:t>Behaviour</w:t>
      </w:r>
      <w:proofErr w:type="spellEnd"/>
      <w:r>
        <w:t xml:space="preserve"> Game en gericht op het preventief aanpakken van grensoverschrijdend gedrag. </w:t>
      </w:r>
    </w:p>
    <w:p w:rsidR="007C28F3" w:rsidRDefault="007C28F3" w:rsidP="00BC0681">
      <w:pPr>
        <w:spacing w:line="276" w:lineRule="auto"/>
        <w:jc w:val="both"/>
      </w:pPr>
    </w:p>
    <w:p w:rsidR="00B81339" w:rsidRDefault="007C28F3" w:rsidP="00BC0681">
      <w:pPr>
        <w:spacing w:line="276" w:lineRule="auto"/>
        <w:jc w:val="both"/>
      </w:pPr>
      <w:r>
        <w:t xml:space="preserve">Bij wijze van verslag verwijzen we naar de </w:t>
      </w:r>
      <w:proofErr w:type="spellStart"/>
      <w:r>
        <w:t>powerpoint</w:t>
      </w:r>
      <w:proofErr w:type="spellEnd"/>
      <w:r>
        <w:t xml:space="preserve"> presentatie in bijlage 4</w:t>
      </w:r>
    </w:p>
    <w:sectPr w:rsidR="00B81339" w:rsidSect="001438C5">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46"/>
    <w:multiLevelType w:val="hybridMultilevel"/>
    <w:tmpl w:val="497EE5CE"/>
    <w:lvl w:ilvl="0" w:tplc="911A1BE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2F1C07"/>
    <w:multiLevelType w:val="hybridMultilevel"/>
    <w:tmpl w:val="FF1EDA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E991085"/>
    <w:multiLevelType w:val="hybridMultilevel"/>
    <w:tmpl w:val="B13CD84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9E8360C"/>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14254A9"/>
    <w:multiLevelType w:val="hybridMultilevel"/>
    <w:tmpl w:val="46988CAE"/>
    <w:lvl w:ilvl="0" w:tplc="14264048">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6B311A5"/>
    <w:multiLevelType w:val="hybridMultilevel"/>
    <w:tmpl w:val="1A741238"/>
    <w:lvl w:ilvl="0" w:tplc="4AA4D800">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83902C4"/>
    <w:multiLevelType w:val="hybridMultilevel"/>
    <w:tmpl w:val="F3BE8A9C"/>
    <w:lvl w:ilvl="0" w:tplc="93A8FF0C">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54B30C6C"/>
    <w:multiLevelType w:val="hybridMultilevel"/>
    <w:tmpl w:val="87648708"/>
    <w:lvl w:ilvl="0" w:tplc="127438D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60AD1CFE"/>
    <w:multiLevelType w:val="hybridMultilevel"/>
    <w:tmpl w:val="B13CD84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4056AF3"/>
    <w:multiLevelType w:val="hybridMultilevel"/>
    <w:tmpl w:val="61F0A0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E2E35DC"/>
    <w:multiLevelType w:val="hybridMultilevel"/>
    <w:tmpl w:val="D83AE8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9"/>
  </w:num>
  <w:num w:numId="6">
    <w:abstractNumId w:val="1"/>
  </w:num>
  <w:num w:numId="7">
    <w:abstractNumId w:val="2"/>
  </w:num>
  <w:num w:numId="8">
    <w:abstractNumId w:val="11"/>
  </w:num>
  <w:num w:numId="9">
    <w:abstractNumId w:val="10"/>
  </w:num>
  <w:num w:numId="10">
    <w:abstractNumId w:val="3"/>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39"/>
    <w:rsid w:val="00141046"/>
    <w:rsid w:val="001438C5"/>
    <w:rsid w:val="001F74A8"/>
    <w:rsid w:val="002A35E8"/>
    <w:rsid w:val="002C01F4"/>
    <w:rsid w:val="0035540A"/>
    <w:rsid w:val="003F006D"/>
    <w:rsid w:val="00402739"/>
    <w:rsid w:val="004709B0"/>
    <w:rsid w:val="004F0F6D"/>
    <w:rsid w:val="007B0EF4"/>
    <w:rsid w:val="007B6DA3"/>
    <w:rsid w:val="007C28F3"/>
    <w:rsid w:val="00977649"/>
    <w:rsid w:val="00B81339"/>
    <w:rsid w:val="00BA308B"/>
    <w:rsid w:val="00BC0681"/>
    <w:rsid w:val="00BC3E78"/>
    <w:rsid w:val="00C244C5"/>
    <w:rsid w:val="00E54099"/>
    <w:rsid w:val="00EF52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339"/>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81339"/>
    <w:pPr>
      <w:ind w:left="720"/>
    </w:pPr>
  </w:style>
  <w:style w:type="character" w:styleId="Zwaar">
    <w:name w:val="Strong"/>
    <w:qFormat/>
    <w:rsid w:val="004F0F6D"/>
    <w:rPr>
      <w:b/>
      <w:bCs/>
    </w:rPr>
  </w:style>
  <w:style w:type="table" w:styleId="Tabelraster">
    <w:name w:val="Table Grid"/>
    <w:basedOn w:val="Standaardtabel"/>
    <w:uiPriority w:val="59"/>
    <w:rsid w:val="004F0F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339"/>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81339"/>
    <w:pPr>
      <w:ind w:left="720"/>
    </w:pPr>
  </w:style>
  <w:style w:type="character" w:styleId="Zwaar">
    <w:name w:val="Strong"/>
    <w:qFormat/>
    <w:rsid w:val="004F0F6D"/>
    <w:rPr>
      <w:b/>
      <w:bCs/>
    </w:rPr>
  </w:style>
  <w:style w:type="table" w:styleId="Tabelraster">
    <w:name w:val="Table Grid"/>
    <w:basedOn w:val="Standaardtabel"/>
    <w:uiPriority w:val="59"/>
    <w:rsid w:val="004F0F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31879">
      <w:bodyDiv w:val="1"/>
      <w:marLeft w:val="0"/>
      <w:marRight w:val="0"/>
      <w:marTop w:val="0"/>
      <w:marBottom w:val="0"/>
      <w:divBdr>
        <w:top w:val="none" w:sz="0" w:space="0" w:color="auto"/>
        <w:left w:val="none" w:sz="0" w:space="0" w:color="auto"/>
        <w:bottom w:val="none" w:sz="0" w:space="0" w:color="auto"/>
        <w:right w:val="none" w:sz="0" w:space="0" w:color="auto"/>
      </w:divBdr>
    </w:div>
    <w:div w:id="18952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2015-06-15T18:52:00Z</dcterms:created>
  <dcterms:modified xsi:type="dcterms:W3CDTF">2015-06-15T18:52:00Z</dcterms:modified>
</cp:coreProperties>
</file>